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4F4A9" w14:textId="77777777" w:rsidR="00293B3F" w:rsidRPr="001C03C0" w:rsidRDefault="00293B3F" w:rsidP="00293B3F">
      <w:pPr>
        <w:jc w:val="center"/>
        <w:rPr>
          <w:rFonts w:ascii="ITC New Baskerville Std" w:hAnsi="ITC New Baskerville Std"/>
          <w:b/>
          <w:bCs/>
          <w:sz w:val="28"/>
          <w:szCs w:val="28"/>
        </w:rPr>
      </w:pPr>
      <w:r w:rsidRPr="001C03C0">
        <w:rPr>
          <w:rFonts w:ascii="ITC New Baskerville Std" w:hAnsi="ITC New Baskerville Std"/>
          <w:b/>
          <w:bCs/>
          <w:sz w:val="28"/>
          <w:szCs w:val="28"/>
        </w:rPr>
        <w:t xml:space="preserve">ANEXO </w:t>
      </w:r>
      <w:r w:rsidR="00E45C11" w:rsidRPr="001C03C0">
        <w:rPr>
          <w:rFonts w:ascii="ITC New Baskerville Std" w:hAnsi="ITC New Baskerville Std"/>
          <w:b/>
          <w:bCs/>
          <w:sz w:val="28"/>
          <w:szCs w:val="28"/>
        </w:rPr>
        <w:t>I</w:t>
      </w:r>
      <w:r w:rsidR="002A4518" w:rsidRPr="001C03C0">
        <w:rPr>
          <w:rFonts w:ascii="ITC New Baskerville Std" w:hAnsi="ITC New Baskerville Std"/>
          <w:b/>
          <w:bCs/>
          <w:sz w:val="28"/>
          <w:szCs w:val="28"/>
        </w:rPr>
        <w:t>I</w:t>
      </w:r>
      <w:r w:rsidRPr="001C03C0">
        <w:rPr>
          <w:rFonts w:ascii="ITC New Baskerville Std" w:hAnsi="ITC New Baskerville Std"/>
          <w:b/>
          <w:bCs/>
          <w:sz w:val="28"/>
          <w:szCs w:val="28"/>
        </w:rPr>
        <w:t xml:space="preserve">. </w:t>
      </w:r>
      <w:r w:rsidR="00907DB4" w:rsidRPr="001C03C0">
        <w:rPr>
          <w:rFonts w:ascii="ITC New Baskerville Std" w:hAnsi="ITC New Baskerville Std"/>
          <w:b/>
          <w:bCs/>
          <w:sz w:val="28"/>
          <w:szCs w:val="28"/>
        </w:rPr>
        <w:t xml:space="preserve">DECLARACIÓN RESPONSABLE COMO ENTIDAD COLABORADORA </w:t>
      </w:r>
      <w:r w:rsidR="001C03C0" w:rsidRPr="001C03C0">
        <w:rPr>
          <w:rFonts w:ascii="ITC New Baskerville Std" w:hAnsi="ITC New Baskerville Std"/>
          <w:b/>
          <w:bCs/>
          <w:sz w:val="28"/>
          <w:szCs w:val="28"/>
        </w:rPr>
        <w:t xml:space="preserve">EN EL </w:t>
      </w:r>
      <w:r w:rsidR="00907DB4" w:rsidRPr="001C03C0">
        <w:rPr>
          <w:rFonts w:ascii="ITC New Baskerville Std" w:hAnsi="ITC New Baskerville Std"/>
          <w:b/>
          <w:bCs/>
          <w:sz w:val="28"/>
          <w:szCs w:val="28"/>
        </w:rPr>
        <w:t>PROGRAMA DE PRÁCTICAS ACADÉMICAS EXTERNAS D</w:t>
      </w:r>
      <w:r w:rsidR="001C03C0" w:rsidRPr="001C03C0">
        <w:rPr>
          <w:rFonts w:ascii="ITC New Baskerville Std" w:hAnsi="ITC New Baskerville Std"/>
          <w:b/>
          <w:bCs/>
          <w:sz w:val="28"/>
          <w:szCs w:val="28"/>
        </w:rPr>
        <w:t>E LA UNIVERSIDAD</w:t>
      </w:r>
      <w:r w:rsidR="00907DB4" w:rsidRPr="001C03C0">
        <w:rPr>
          <w:rFonts w:ascii="ITC New Baskerville Std" w:hAnsi="ITC New Baskerville Std"/>
          <w:b/>
          <w:bCs/>
          <w:sz w:val="28"/>
          <w:szCs w:val="28"/>
        </w:rPr>
        <w:t xml:space="preserve"> DE VIGO</w:t>
      </w:r>
    </w:p>
    <w:p w14:paraId="19CADE20" w14:textId="77777777" w:rsidR="00FA5A4C" w:rsidRPr="001C03C0" w:rsidRDefault="00FA5A4C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16B8264D" w14:textId="77777777" w:rsidR="002A4518" w:rsidRPr="001C03C0" w:rsidRDefault="002A4518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31A2260D" w14:textId="77777777" w:rsidR="002A4518" w:rsidRPr="001C03C0" w:rsidRDefault="002A4518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349A7E8A" w14:textId="77777777" w:rsidR="00141850" w:rsidRPr="001C03C0" w:rsidRDefault="001C03C0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b/>
          <w:bCs/>
          <w:sz w:val="22"/>
          <w:szCs w:val="22"/>
        </w:rPr>
        <w:t>D/Dñ</w:t>
      </w:r>
      <w:r w:rsidR="00141850" w:rsidRPr="001C03C0">
        <w:rPr>
          <w:rFonts w:ascii="ITC New Baskerville Std" w:hAnsi="ITC New Baskerville Std"/>
          <w:b/>
          <w:bCs/>
          <w:sz w:val="22"/>
          <w:szCs w:val="22"/>
        </w:rPr>
        <w:t>a.</w:t>
      </w:r>
      <w:r w:rsidR="00141850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 xml:space="preserve"> </w:t>
      </w:r>
      <w:r w:rsidR="00293B3F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293B3F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 xml:space="preserve">, con DNI </w:t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FA5A4C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>,</w:t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 xml:space="preserve"> en calidad de </w:t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  <w:t>d</w:t>
      </w:r>
      <w:r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>e l</w:t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 xml:space="preserve">a empresa/entidad colaboradora </w:t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907DB4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ab/>
      </w:r>
      <w:r w:rsidR="00FA5A4C" w:rsidRPr="001C03C0">
        <w:rPr>
          <w:rFonts w:ascii="ITC New Baskerville Std" w:hAnsi="ITC New Baskerville Std" w:cs="Calibri"/>
          <w:b/>
          <w:bCs/>
          <w:sz w:val="22"/>
          <w:szCs w:val="22"/>
          <w:lang w:eastAsia="en-US"/>
        </w:rPr>
        <w:t>.</w:t>
      </w:r>
    </w:p>
    <w:p w14:paraId="25F5485B" w14:textId="77777777" w:rsidR="00907DB4" w:rsidRPr="001C03C0" w:rsidRDefault="00907DB4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4DE584D4" w14:textId="77777777" w:rsidR="002A4518" w:rsidRPr="001C03C0" w:rsidRDefault="002A4518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79259493" w14:textId="77777777" w:rsidR="002A4518" w:rsidRPr="001C03C0" w:rsidRDefault="002A4518" w:rsidP="00293B3F">
      <w:pPr>
        <w:ind w:left="-142" w:right="-149"/>
        <w:rPr>
          <w:rFonts w:ascii="ITC New Baskerville Std" w:hAnsi="ITC New Baskerville Std"/>
          <w:sz w:val="16"/>
          <w:szCs w:val="16"/>
        </w:rPr>
      </w:pPr>
    </w:p>
    <w:p w14:paraId="31C1CA42" w14:textId="77777777" w:rsidR="00141850" w:rsidRPr="001C03C0" w:rsidRDefault="00141850" w:rsidP="00293B3F">
      <w:pPr>
        <w:ind w:left="-142" w:right="-149"/>
        <w:rPr>
          <w:rFonts w:ascii="ITC New Baskerville Std" w:hAnsi="ITC New Baskerville Std"/>
          <w:b/>
          <w:sz w:val="22"/>
          <w:szCs w:val="22"/>
        </w:rPr>
      </w:pPr>
      <w:r w:rsidRPr="001C03C0">
        <w:rPr>
          <w:rFonts w:ascii="ITC New Baskerville Std" w:hAnsi="ITC New Baskerville Std"/>
          <w:b/>
          <w:sz w:val="22"/>
          <w:szCs w:val="22"/>
        </w:rPr>
        <w:t xml:space="preserve">DECLARA </w:t>
      </w:r>
      <w:r w:rsidR="00907DB4" w:rsidRPr="001C03C0">
        <w:rPr>
          <w:rFonts w:ascii="ITC New Baskerville Std" w:hAnsi="ITC New Baskerville Std"/>
          <w:b/>
          <w:sz w:val="22"/>
          <w:szCs w:val="22"/>
        </w:rPr>
        <w:t>RESPONSABLEMENTE</w:t>
      </w:r>
    </w:p>
    <w:p w14:paraId="72790D61" w14:textId="77777777" w:rsidR="00907DB4" w:rsidRPr="001C03C0" w:rsidRDefault="00907DB4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</w:p>
    <w:p w14:paraId="2903466A" w14:textId="77777777" w:rsidR="00907DB4" w:rsidRPr="001C03C0" w:rsidRDefault="005545B2" w:rsidP="00293B3F">
      <w:pPr>
        <w:ind w:left="-142" w:right="-149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 xml:space="preserve">Que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Pr="001C03C0">
        <w:rPr>
          <w:rFonts w:ascii="ITC New Baskerville Std" w:hAnsi="ITC New Baskerville Std"/>
          <w:sz w:val="22"/>
          <w:szCs w:val="22"/>
        </w:rPr>
        <w:t>a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empresa/entidad</w:t>
      </w:r>
      <w:r w:rsidR="00907DB4" w:rsidRPr="001C03C0">
        <w:rPr>
          <w:rFonts w:ascii="ITC New Baskerville Std" w:hAnsi="ITC New Baskerville Std"/>
          <w:sz w:val="22"/>
          <w:szCs w:val="22"/>
        </w:rPr>
        <w:tab/>
      </w:r>
      <w:r w:rsidR="00907DB4" w:rsidRPr="001C03C0">
        <w:rPr>
          <w:rFonts w:ascii="ITC New Baskerville Std" w:hAnsi="ITC New Baskerville Std"/>
          <w:sz w:val="22"/>
          <w:szCs w:val="22"/>
        </w:rPr>
        <w:tab/>
      </w:r>
      <w:r w:rsidR="00907DB4" w:rsidRPr="001C03C0">
        <w:rPr>
          <w:rFonts w:ascii="ITC New Baskerville Std" w:hAnsi="ITC New Baskerville Std"/>
          <w:sz w:val="22"/>
          <w:szCs w:val="22"/>
        </w:rPr>
        <w:tab/>
      </w:r>
      <w:r w:rsidRPr="001C03C0">
        <w:rPr>
          <w:rFonts w:ascii="ITC New Baskerville Std" w:hAnsi="ITC New Baskerville Std"/>
          <w:sz w:val="22"/>
          <w:szCs w:val="22"/>
        </w:rPr>
        <w:tab/>
      </w:r>
      <w:r w:rsidRPr="001C03C0">
        <w:rPr>
          <w:rFonts w:ascii="ITC New Baskerville Std" w:hAnsi="ITC New Baskerville Std"/>
          <w:sz w:val="22"/>
          <w:szCs w:val="22"/>
        </w:rPr>
        <w:tab/>
      </w:r>
      <w:r w:rsidR="00907DB4" w:rsidRPr="001C03C0">
        <w:rPr>
          <w:rFonts w:ascii="ITC New Baskerville Std" w:hAnsi="ITC New Baskerville Std"/>
          <w:sz w:val="22"/>
          <w:szCs w:val="22"/>
        </w:rPr>
        <w:tab/>
        <w:t>:</w:t>
      </w:r>
    </w:p>
    <w:p w14:paraId="7DB113DD" w14:textId="77777777" w:rsidR="00907DB4" w:rsidRPr="001C03C0" w:rsidRDefault="00907DB4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>Realiza un</w:t>
      </w:r>
      <w:r w:rsidR="001C03C0" w:rsidRPr="001C03C0">
        <w:rPr>
          <w:rFonts w:ascii="ITC New Baskerville Std" w:hAnsi="ITC New Baskerville Std"/>
          <w:sz w:val="22"/>
          <w:szCs w:val="22"/>
        </w:rPr>
        <w:t>a actividad</w:t>
      </w:r>
      <w:r w:rsidRPr="001C03C0">
        <w:rPr>
          <w:rFonts w:ascii="ITC New Baskerville Std" w:hAnsi="ITC New Baskerville Std"/>
          <w:sz w:val="22"/>
          <w:szCs w:val="22"/>
        </w:rPr>
        <w:t xml:space="preserve"> económica o profesional, se</w:t>
      </w:r>
      <w:r w:rsidR="001C03C0" w:rsidRPr="001C03C0">
        <w:rPr>
          <w:rFonts w:ascii="ITC New Baskerville Std" w:hAnsi="ITC New Baskerville Std"/>
          <w:sz w:val="22"/>
          <w:szCs w:val="22"/>
        </w:rPr>
        <w:t>a o no lucrativa</w:t>
      </w:r>
      <w:r w:rsidRPr="001C03C0">
        <w:rPr>
          <w:rFonts w:ascii="ITC New Baskerville Std" w:hAnsi="ITC New Baskerville Std"/>
          <w:sz w:val="22"/>
          <w:szCs w:val="22"/>
        </w:rPr>
        <w:t>.</w:t>
      </w:r>
    </w:p>
    <w:p w14:paraId="0D5410CE" w14:textId="77777777" w:rsidR="00907DB4" w:rsidRPr="001C03C0" w:rsidRDefault="00907DB4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 xml:space="preserve">Está </w:t>
      </w:r>
      <w:r w:rsidR="001C03C0" w:rsidRPr="001C03C0">
        <w:rPr>
          <w:rFonts w:ascii="ITC New Baskerville Std" w:hAnsi="ITC New Baskerville Std"/>
          <w:sz w:val="22"/>
          <w:szCs w:val="22"/>
        </w:rPr>
        <w:t>constituida</w:t>
      </w:r>
      <w:r w:rsidRPr="001C03C0">
        <w:rPr>
          <w:rFonts w:ascii="ITC New Baskerville Std" w:hAnsi="ITC New Baskerville Std"/>
          <w:sz w:val="22"/>
          <w:szCs w:val="22"/>
        </w:rPr>
        <w:t xml:space="preserve"> legalmente ba</w:t>
      </w:r>
      <w:r w:rsidR="001C03C0" w:rsidRPr="001C03C0">
        <w:rPr>
          <w:rFonts w:ascii="ITC New Baskerville Std" w:hAnsi="ITC New Baskerville Std"/>
          <w:sz w:val="22"/>
          <w:szCs w:val="22"/>
        </w:rPr>
        <w:t>j</w:t>
      </w:r>
      <w:r w:rsidRPr="001C03C0">
        <w:rPr>
          <w:rFonts w:ascii="ITC New Baskerville Std" w:hAnsi="ITC New Baskerville Std"/>
          <w:sz w:val="22"/>
          <w:szCs w:val="22"/>
        </w:rPr>
        <w:t>o un</w:t>
      </w:r>
      <w:r w:rsidR="001C03C0" w:rsidRPr="001C03C0">
        <w:rPr>
          <w:rFonts w:ascii="ITC New Baskerville Std" w:hAnsi="ITC New Baskerville Std"/>
          <w:sz w:val="22"/>
          <w:szCs w:val="22"/>
        </w:rPr>
        <w:t>a forma j</w:t>
      </w:r>
      <w:r w:rsidRPr="001C03C0">
        <w:rPr>
          <w:rFonts w:ascii="ITC New Baskerville Std" w:hAnsi="ITC New Baskerville Std"/>
          <w:sz w:val="22"/>
          <w:szCs w:val="22"/>
        </w:rPr>
        <w:t>urídica determinada.</w:t>
      </w:r>
    </w:p>
    <w:p w14:paraId="6D156AB4" w14:textId="77777777" w:rsidR="00907DB4" w:rsidRPr="001C03C0" w:rsidRDefault="00907DB4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>Disp</w:t>
      </w:r>
      <w:r w:rsidR="001C03C0" w:rsidRPr="001C03C0">
        <w:rPr>
          <w:rFonts w:ascii="ITC New Baskerville Std" w:hAnsi="ITC New Baskerville Std"/>
          <w:sz w:val="22"/>
          <w:szCs w:val="22"/>
        </w:rPr>
        <w:t>one</w:t>
      </w:r>
      <w:r w:rsidRPr="001C03C0">
        <w:rPr>
          <w:rFonts w:ascii="ITC New Baskerville Std" w:hAnsi="ITC New Baskerville Std"/>
          <w:sz w:val="22"/>
          <w:szCs w:val="22"/>
        </w:rPr>
        <w:t xml:space="preserve"> d</w:t>
      </w:r>
      <w:r w:rsidR="001C03C0" w:rsidRPr="001C03C0">
        <w:rPr>
          <w:rFonts w:ascii="ITC New Baskerville Std" w:hAnsi="ITC New Baskerville Std"/>
          <w:sz w:val="22"/>
          <w:szCs w:val="22"/>
        </w:rPr>
        <w:t>e l</w:t>
      </w:r>
      <w:r w:rsidRPr="001C03C0">
        <w:rPr>
          <w:rFonts w:ascii="ITC New Baskerville Std" w:hAnsi="ITC New Baskerville Std"/>
          <w:sz w:val="22"/>
          <w:szCs w:val="22"/>
        </w:rPr>
        <w:t xml:space="preserve">as </w:t>
      </w:r>
      <w:r w:rsidR="001C03C0">
        <w:rPr>
          <w:rFonts w:ascii="ITC New Baskerville Std" w:hAnsi="ITC New Baskerville Std"/>
          <w:sz w:val="22"/>
          <w:szCs w:val="22"/>
        </w:rPr>
        <w:t>instalaciones</w:t>
      </w:r>
      <w:r w:rsidRPr="001C03C0">
        <w:rPr>
          <w:rFonts w:ascii="ITC New Baskerville Std" w:hAnsi="ITC New Baskerville Std"/>
          <w:sz w:val="22"/>
          <w:szCs w:val="22"/>
        </w:rPr>
        <w:t xml:space="preserve"> </w:t>
      </w:r>
      <w:r w:rsidR="001C03C0" w:rsidRPr="001C03C0">
        <w:rPr>
          <w:rFonts w:ascii="ITC New Baskerville Std" w:hAnsi="ITC New Baskerville Std"/>
          <w:sz w:val="22"/>
          <w:szCs w:val="22"/>
        </w:rPr>
        <w:t>y de los medios</w:t>
      </w:r>
      <w:r w:rsidRPr="001C03C0">
        <w:rPr>
          <w:rFonts w:ascii="ITC New Baskerville Std" w:hAnsi="ITC New Baskerville Std"/>
          <w:sz w:val="22"/>
          <w:szCs w:val="22"/>
        </w:rPr>
        <w:t xml:space="preserve"> adecuados para des</w:t>
      </w:r>
      <w:r w:rsidR="001C03C0" w:rsidRPr="001C03C0">
        <w:rPr>
          <w:rFonts w:ascii="ITC New Baskerville Std" w:hAnsi="ITC New Baskerville Std"/>
          <w:sz w:val="22"/>
          <w:szCs w:val="22"/>
        </w:rPr>
        <w:t>arrollar</w:t>
      </w:r>
      <w:r w:rsidRPr="001C03C0">
        <w:rPr>
          <w:rFonts w:ascii="ITC New Baskerville Std" w:hAnsi="ITC New Baskerville Std"/>
          <w:sz w:val="22"/>
          <w:szCs w:val="22"/>
        </w:rPr>
        <w:t xml:space="preserve">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Pr="001C03C0">
        <w:rPr>
          <w:rFonts w:ascii="ITC New Baskerville Std" w:hAnsi="ITC New Baskerville Std"/>
          <w:sz w:val="22"/>
          <w:szCs w:val="22"/>
        </w:rPr>
        <w:t>as prácticas.</w:t>
      </w:r>
    </w:p>
    <w:p w14:paraId="69AB5A3F" w14:textId="77777777" w:rsidR="00907DB4" w:rsidRPr="001C03C0" w:rsidRDefault="00907DB4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>Disp</w:t>
      </w:r>
      <w:r w:rsidR="001C03C0" w:rsidRPr="001C03C0">
        <w:rPr>
          <w:rFonts w:ascii="ITC New Baskerville Std" w:hAnsi="ITC New Baskerville Std"/>
          <w:sz w:val="22"/>
          <w:szCs w:val="22"/>
        </w:rPr>
        <w:t>one</w:t>
      </w:r>
      <w:r w:rsidRPr="001C03C0">
        <w:rPr>
          <w:rFonts w:ascii="ITC New Baskerville Std" w:hAnsi="ITC New Baskerville Std"/>
          <w:sz w:val="22"/>
          <w:szCs w:val="22"/>
        </w:rPr>
        <w:t xml:space="preserve"> d</w:t>
      </w:r>
      <w:r w:rsidR="001C03C0" w:rsidRPr="001C03C0">
        <w:rPr>
          <w:rFonts w:ascii="ITC New Baskerville Std" w:hAnsi="ITC New Baskerville Std"/>
          <w:sz w:val="22"/>
          <w:szCs w:val="22"/>
        </w:rPr>
        <w:t>el</w:t>
      </w:r>
      <w:r w:rsidRPr="001C03C0">
        <w:rPr>
          <w:rFonts w:ascii="ITC New Baskerville Std" w:hAnsi="ITC New Baskerville Std"/>
          <w:sz w:val="22"/>
          <w:szCs w:val="22"/>
        </w:rPr>
        <w:t xml:space="preserve"> perso</w:t>
      </w:r>
      <w:r w:rsidR="001C03C0" w:rsidRPr="001C03C0">
        <w:rPr>
          <w:rFonts w:ascii="ITC New Baskerville Std" w:hAnsi="ITC New Baskerville Std"/>
          <w:sz w:val="22"/>
          <w:szCs w:val="22"/>
        </w:rPr>
        <w:t>n</w:t>
      </w:r>
      <w:r w:rsidRPr="001C03C0">
        <w:rPr>
          <w:rFonts w:ascii="ITC New Baskerville Std" w:hAnsi="ITC New Baskerville Std"/>
          <w:sz w:val="22"/>
          <w:szCs w:val="22"/>
        </w:rPr>
        <w:t>al adecuado para t</w:t>
      </w:r>
      <w:r w:rsidR="001C03C0" w:rsidRPr="001C03C0">
        <w:rPr>
          <w:rFonts w:ascii="ITC New Baskerville Std" w:hAnsi="ITC New Baskerville Std"/>
          <w:sz w:val="22"/>
          <w:szCs w:val="22"/>
        </w:rPr>
        <w:t>u</w:t>
      </w:r>
      <w:r w:rsidRPr="001C03C0">
        <w:rPr>
          <w:rFonts w:ascii="ITC New Baskerville Std" w:hAnsi="ITC New Baskerville Std"/>
          <w:sz w:val="22"/>
          <w:szCs w:val="22"/>
        </w:rPr>
        <w:t xml:space="preserve">torizar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Pr="001C03C0">
        <w:rPr>
          <w:rFonts w:ascii="ITC New Baskerville Std" w:hAnsi="ITC New Baskerville Std"/>
          <w:sz w:val="22"/>
          <w:szCs w:val="22"/>
        </w:rPr>
        <w:t>as prácticas.</w:t>
      </w:r>
    </w:p>
    <w:p w14:paraId="6DB22197" w14:textId="77777777" w:rsidR="00907DB4" w:rsidRPr="001C03C0" w:rsidRDefault="00907DB4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>Cump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Pr="001C03C0">
        <w:rPr>
          <w:rFonts w:ascii="ITC New Baskerville Std" w:hAnsi="ITC New Baskerville Std"/>
          <w:sz w:val="22"/>
          <w:szCs w:val="22"/>
        </w:rPr>
        <w:t>e co</w:t>
      </w:r>
      <w:r w:rsidR="001C03C0" w:rsidRPr="001C03C0">
        <w:rPr>
          <w:rFonts w:ascii="ITC New Baskerville Std" w:hAnsi="ITC New Baskerville Std"/>
          <w:sz w:val="22"/>
          <w:szCs w:val="22"/>
        </w:rPr>
        <w:t>n l</w:t>
      </w:r>
      <w:r w:rsidRPr="001C03C0">
        <w:rPr>
          <w:rFonts w:ascii="ITC New Baskerville Std" w:hAnsi="ITC New Baskerville Std"/>
          <w:sz w:val="22"/>
          <w:szCs w:val="22"/>
        </w:rPr>
        <w:t>as condici</w:t>
      </w:r>
      <w:r w:rsidR="001C03C0" w:rsidRPr="001C03C0">
        <w:rPr>
          <w:rFonts w:ascii="ITC New Baskerville Std" w:hAnsi="ITC New Baskerville Std"/>
          <w:sz w:val="22"/>
          <w:szCs w:val="22"/>
        </w:rPr>
        <w:t>ones</w:t>
      </w:r>
      <w:r w:rsidRPr="001C03C0">
        <w:rPr>
          <w:rFonts w:ascii="ITC New Baskerville Std" w:hAnsi="ITC New Baskerville Std"/>
          <w:sz w:val="22"/>
          <w:szCs w:val="22"/>
        </w:rPr>
        <w:t xml:space="preserve"> de seguridad, </w:t>
      </w:r>
      <w:r w:rsidR="001C03C0" w:rsidRPr="001C03C0">
        <w:rPr>
          <w:rFonts w:ascii="ITC New Baskerville Std" w:hAnsi="ITC New Baskerville Std"/>
          <w:sz w:val="22"/>
          <w:szCs w:val="22"/>
        </w:rPr>
        <w:t>y</w:t>
      </w:r>
      <w:r w:rsidRPr="001C03C0">
        <w:rPr>
          <w:rFonts w:ascii="ITC New Baskerville Std" w:hAnsi="ITC New Baskerville Std"/>
          <w:sz w:val="22"/>
          <w:szCs w:val="22"/>
        </w:rPr>
        <w:t xml:space="preserve"> sanitarias </w:t>
      </w:r>
      <w:r w:rsidR="001C03C0" w:rsidRPr="001C03C0">
        <w:rPr>
          <w:rFonts w:ascii="ITC New Baskerville Std" w:hAnsi="ITC New Baskerville Std"/>
          <w:sz w:val="22"/>
          <w:szCs w:val="22"/>
        </w:rPr>
        <w:t>en su caso</w:t>
      </w:r>
      <w:r w:rsidRPr="001C03C0">
        <w:rPr>
          <w:rFonts w:ascii="ITC New Baskerville Std" w:hAnsi="ITC New Baskerville Std"/>
          <w:sz w:val="22"/>
          <w:szCs w:val="22"/>
        </w:rPr>
        <w:t>, adoptadas po</w:t>
      </w:r>
      <w:r w:rsidR="001C03C0" w:rsidRPr="001C03C0">
        <w:rPr>
          <w:rFonts w:ascii="ITC New Baskerville Std" w:hAnsi="ITC New Baskerville Std"/>
          <w:sz w:val="22"/>
          <w:szCs w:val="22"/>
        </w:rPr>
        <w:t>r sus</w:t>
      </w:r>
      <w:r w:rsidRPr="001C03C0">
        <w:rPr>
          <w:rFonts w:ascii="ITC New Baskerville Std" w:hAnsi="ITC New Baskerville Std"/>
          <w:sz w:val="22"/>
          <w:szCs w:val="22"/>
        </w:rPr>
        <w:t xml:space="preserve"> servi</w:t>
      </w:r>
      <w:r w:rsidR="001C03C0" w:rsidRPr="001C03C0">
        <w:rPr>
          <w:rFonts w:ascii="ITC New Baskerville Std" w:hAnsi="ITC New Baskerville Std"/>
          <w:sz w:val="22"/>
          <w:szCs w:val="22"/>
        </w:rPr>
        <w:t>cios de prevención de riesgos laborales o por las autoridades com</w:t>
      </w:r>
      <w:r w:rsidRPr="001C03C0">
        <w:rPr>
          <w:rFonts w:ascii="ITC New Baskerville Std" w:hAnsi="ITC New Baskerville Std"/>
          <w:sz w:val="22"/>
          <w:szCs w:val="22"/>
        </w:rPr>
        <w:t>petentes.</w:t>
      </w:r>
    </w:p>
    <w:p w14:paraId="65BF7D9D" w14:textId="77777777" w:rsidR="00907DB4" w:rsidRPr="001C03C0" w:rsidRDefault="001C03C0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 xml:space="preserve">En el 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caso de ser una entidad privada, no </w:t>
      </w:r>
      <w:r w:rsidRPr="001C03C0">
        <w:rPr>
          <w:rFonts w:ascii="ITC New Baskerville Std" w:hAnsi="ITC New Baskerville Std"/>
          <w:sz w:val="22"/>
          <w:szCs w:val="22"/>
        </w:rPr>
        <w:t>estar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incursa </w:t>
      </w:r>
      <w:r w:rsidRPr="001C03C0">
        <w:rPr>
          <w:rFonts w:ascii="ITC New Baskerville Std" w:hAnsi="ITC New Baskerville Std"/>
          <w:sz w:val="22"/>
          <w:szCs w:val="22"/>
        </w:rPr>
        <w:t>en un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expediente de regulación de </w:t>
      </w:r>
      <w:r w:rsidRPr="001C03C0">
        <w:rPr>
          <w:rFonts w:ascii="ITC New Baskerville Std" w:hAnsi="ITC New Baskerville Std"/>
          <w:sz w:val="22"/>
          <w:szCs w:val="22"/>
        </w:rPr>
        <w:t>empleo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(ERE) </w:t>
      </w:r>
      <w:r w:rsidRPr="001C03C0">
        <w:rPr>
          <w:rFonts w:ascii="ITC New Baskerville Std" w:hAnsi="ITC New Baskerville Std"/>
          <w:sz w:val="22"/>
          <w:szCs w:val="22"/>
        </w:rPr>
        <w:t>en la fecha de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inicio d</w:t>
      </w:r>
      <w:r w:rsidRPr="001C03C0">
        <w:rPr>
          <w:rFonts w:ascii="ITC New Baskerville Std" w:hAnsi="ITC New Baskerville Std"/>
          <w:sz w:val="22"/>
          <w:szCs w:val="22"/>
        </w:rPr>
        <w:t>e l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a práctica. </w:t>
      </w:r>
      <w:r w:rsidRPr="001C03C0">
        <w:rPr>
          <w:rFonts w:ascii="ITC New Baskerville Std" w:hAnsi="ITC New Baskerville Std"/>
          <w:sz w:val="22"/>
          <w:szCs w:val="22"/>
        </w:rPr>
        <w:t>En el c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aso de que </w:t>
      </w:r>
      <w:r w:rsidRPr="001C03C0">
        <w:rPr>
          <w:rFonts w:ascii="ITC New Baskerville Std" w:hAnsi="ITC New Baskerville Std"/>
          <w:sz w:val="22"/>
          <w:szCs w:val="22"/>
        </w:rPr>
        <w:t>l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a regulación sea temporal, </w:t>
      </w:r>
      <w:r w:rsidR="00465CB7">
        <w:rPr>
          <w:rFonts w:ascii="ITC New Baskerville Std" w:hAnsi="ITC New Baskerville Std"/>
          <w:sz w:val="22"/>
          <w:szCs w:val="22"/>
        </w:rPr>
        <w:t>y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</w:t>
      </w:r>
      <w:r w:rsidRPr="001C03C0">
        <w:rPr>
          <w:rFonts w:ascii="ITC New Baskerville Std" w:hAnsi="ITC New Baskerville Std"/>
          <w:sz w:val="22"/>
          <w:szCs w:val="22"/>
        </w:rPr>
        <w:t>solo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afecte</w:t>
      </w:r>
      <w:r w:rsidRPr="001C03C0">
        <w:rPr>
          <w:rFonts w:ascii="ITC New Baskerville Std" w:hAnsi="ITC New Baskerville Std"/>
          <w:sz w:val="22"/>
          <w:szCs w:val="22"/>
        </w:rPr>
        <w:t xml:space="preserve"> a algunos departamentos en concreto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, </w:t>
      </w:r>
      <w:r w:rsidRPr="001C03C0">
        <w:rPr>
          <w:rFonts w:ascii="ITC New Baskerville Std" w:hAnsi="ITC New Baskerville Std"/>
          <w:sz w:val="22"/>
          <w:szCs w:val="22"/>
        </w:rPr>
        <w:t>el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alumnado </w:t>
      </w:r>
      <w:r w:rsidR="00FA5A4C" w:rsidRPr="001C03C0">
        <w:rPr>
          <w:rFonts w:ascii="ITC New Baskerville Std" w:hAnsi="ITC New Baskerville Std"/>
          <w:sz w:val="22"/>
          <w:szCs w:val="22"/>
        </w:rPr>
        <w:t>s</w:t>
      </w:r>
      <w:r w:rsidRPr="001C03C0">
        <w:rPr>
          <w:rFonts w:ascii="ITC New Baskerville Std" w:hAnsi="ITC New Baskerville Std"/>
          <w:sz w:val="22"/>
          <w:szCs w:val="22"/>
        </w:rPr>
        <w:t>olo realizará sus prácticas en las áreas no afectadas por el ERE</w:t>
      </w:r>
      <w:r w:rsidR="00FA5A4C" w:rsidRPr="001C03C0">
        <w:rPr>
          <w:rFonts w:ascii="ITC New Baskerville Std" w:hAnsi="ITC New Baskerville Std"/>
          <w:sz w:val="22"/>
          <w:szCs w:val="22"/>
        </w:rPr>
        <w:t>.</w:t>
      </w:r>
    </w:p>
    <w:p w14:paraId="7E42CF44" w14:textId="77777777" w:rsidR="005545B2" w:rsidRPr="001C03C0" w:rsidRDefault="00FA5A4C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>F</w:t>
      </w:r>
      <w:r w:rsidR="001C03C0" w:rsidRPr="001C03C0">
        <w:rPr>
          <w:rFonts w:ascii="ITC New Baskerville Std" w:hAnsi="ITC New Baskerville Std"/>
          <w:sz w:val="22"/>
          <w:szCs w:val="22"/>
        </w:rPr>
        <w:t>acilitará a la Universidad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 de Vigo</w:t>
      </w:r>
      <w:r w:rsidRPr="001C03C0">
        <w:rPr>
          <w:rFonts w:ascii="ITC New Baskerville Std" w:hAnsi="ITC New Baskerville Std"/>
          <w:sz w:val="22"/>
          <w:szCs w:val="22"/>
        </w:rPr>
        <w:t xml:space="preserve">, en caso de ser </w:t>
      </w:r>
      <w:r w:rsidR="001C03C0" w:rsidRPr="001C03C0">
        <w:rPr>
          <w:rFonts w:ascii="ITC New Baskerville Std" w:hAnsi="ITC New Baskerville Std"/>
          <w:sz w:val="22"/>
          <w:szCs w:val="22"/>
        </w:rPr>
        <w:t>requeridos</w:t>
      </w:r>
      <w:r w:rsidRPr="001C03C0">
        <w:rPr>
          <w:rFonts w:ascii="ITC New Baskerville Std" w:hAnsi="ITC New Baskerville Std"/>
          <w:sz w:val="22"/>
          <w:szCs w:val="22"/>
        </w:rPr>
        <w:t xml:space="preserve">,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="00907DB4" w:rsidRPr="001C03C0">
        <w:rPr>
          <w:rFonts w:ascii="ITC New Baskerville Std" w:hAnsi="ITC New Baskerville Std"/>
          <w:sz w:val="22"/>
          <w:szCs w:val="22"/>
        </w:rPr>
        <w:t xml:space="preserve">os 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datos relativos </w:t>
      </w:r>
      <w:r w:rsidR="001C03C0" w:rsidRPr="001C03C0">
        <w:rPr>
          <w:rFonts w:ascii="ITC New Baskerville Std" w:hAnsi="ITC New Baskerville Std"/>
          <w:sz w:val="22"/>
          <w:szCs w:val="22"/>
        </w:rPr>
        <w:t xml:space="preserve">a su plantilla, según se recoge en la relación nominal de trabajadores </w:t>
      </w:r>
      <w:r w:rsidR="005545B2" w:rsidRPr="001C03C0">
        <w:rPr>
          <w:rFonts w:ascii="ITC New Baskerville Std" w:hAnsi="ITC New Baskerville Std"/>
          <w:sz w:val="22"/>
          <w:szCs w:val="22"/>
        </w:rPr>
        <w:t>(RNT), así como c</w:t>
      </w:r>
      <w:r w:rsidR="001C03C0" w:rsidRPr="001C03C0">
        <w:rPr>
          <w:rFonts w:ascii="ITC New Baskerville Std" w:hAnsi="ITC New Baskerville Std"/>
          <w:sz w:val="22"/>
          <w:szCs w:val="22"/>
        </w:rPr>
        <w:t>u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antos informes se estimen oportunos a fin de determinar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="005545B2" w:rsidRPr="001C03C0">
        <w:rPr>
          <w:rFonts w:ascii="ITC New Baskerville Std" w:hAnsi="ITC New Baskerville Std"/>
          <w:sz w:val="22"/>
          <w:szCs w:val="22"/>
        </w:rPr>
        <w:t>a idoneidad</w:t>
      </w:r>
      <w:r w:rsidR="001C03C0" w:rsidRPr="001C03C0">
        <w:rPr>
          <w:rFonts w:ascii="ITC New Baskerville Std" w:hAnsi="ITC New Baskerville Std"/>
          <w:sz w:val="22"/>
          <w:szCs w:val="22"/>
        </w:rPr>
        <w:t xml:space="preserve"> de las entidades colaboradoras</w:t>
      </w:r>
      <w:r w:rsidR="005545B2" w:rsidRPr="001C03C0">
        <w:rPr>
          <w:rFonts w:ascii="ITC New Baskerville Std" w:hAnsi="ITC New Baskerville Std"/>
          <w:sz w:val="22"/>
          <w:szCs w:val="22"/>
        </w:rPr>
        <w:t>, en tanto cump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e </w:t>
      </w:r>
      <w:r w:rsidR="001C03C0" w:rsidRPr="001C03C0">
        <w:rPr>
          <w:rFonts w:ascii="ITC New Baskerville Std" w:hAnsi="ITC New Baskerville Std"/>
          <w:sz w:val="22"/>
          <w:szCs w:val="22"/>
        </w:rPr>
        <w:t>l</w:t>
      </w:r>
      <w:r w:rsidR="005545B2" w:rsidRPr="001C03C0">
        <w:rPr>
          <w:rFonts w:ascii="ITC New Baskerville Std" w:hAnsi="ITC New Baskerville Std"/>
          <w:sz w:val="22"/>
          <w:szCs w:val="22"/>
        </w:rPr>
        <w:t>os puntos anteriores</w:t>
      </w:r>
    </w:p>
    <w:p w14:paraId="64165EBC" w14:textId="77777777" w:rsidR="00D8408E" w:rsidRPr="001C03C0" w:rsidRDefault="001C03C0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sz w:val="22"/>
          <w:szCs w:val="22"/>
        </w:rPr>
        <w:t>Garantizará la</w:t>
      </w:r>
      <w:r w:rsidR="00D8408E" w:rsidRPr="001C03C0">
        <w:rPr>
          <w:rFonts w:ascii="ITC New Baskerville Std" w:hAnsi="ITC New Baskerville Std"/>
          <w:sz w:val="22"/>
          <w:szCs w:val="22"/>
        </w:rPr>
        <w:t xml:space="preserve"> realización de prácticas de calidad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, </w:t>
      </w:r>
      <w:r w:rsidR="00D8408E" w:rsidRPr="001C03C0">
        <w:rPr>
          <w:rFonts w:ascii="ITC New Baskerville Std" w:hAnsi="ITC New Baskerville Std"/>
          <w:sz w:val="22"/>
          <w:szCs w:val="22"/>
        </w:rPr>
        <w:t>facilitará una t</w:t>
      </w:r>
      <w:r>
        <w:rPr>
          <w:rFonts w:ascii="ITC New Baskerville Std" w:hAnsi="ITC New Baskerville Std"/>
          <w:sz w:val="22"/>
          <w:szCs w:val="22"/>
        </w:rPr>
        <w:t>u</w:t>
      </w:r>
      <w:r w:rsidR="00D8408E" w:rsidRPr="001C03C0">
        <w:rPr>
          <w:rFonts w:ascii="ITC New Baskerville Std" w:hAnsi="ITC New Baskerville Std"/>
          <w:sz w:val="22"/>
          <w:szCs w:val="22"/>
        </w:rPr>
        <w:t xml:space="preserve">torización efectiva, </w:t>
      </w:r>
      <w:r w:rsidR="005545B2" w:rsidRPr="001C03C0">
        <w:rPr>
          <w:rFonts w:ascii="ITC New Baskerville Std" w:hAnsi="ITC New Baskerville Std"/>
          <w:sz w:val="22"/>
          <w:szCs w:val="22"/>
        </w:rPr>
        <w:t>a</w:t>
      </w:r>
      <w:r>
        <w:rPr>
          <w:rFonts w:ascii="ITC New Baskerville Std" w:hAnsi="ITC New Baskerville Std"/>
          <w:sz w:val="22"/>
          <w:szCs w:val="22"/>
        </w:rPr>
        <w:t>j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ustando </w:t>
      </w:r>
      <w:r>
        <w:rPr>
          <w:rFonts w:ascii="ITC New Baskerville Std" w:hAnsi="ITC New Baskerville Std"/>
          <w:sz w:val="22"/>
          <w:szCs w:val="22"/>
        </w:rPr>
        <w:t xml:space="preserve">el </w:t>
      </w:r>
      <w:r w:rsidR="005545B2" w:rsidRPr="001C03C0">
        <w:rPr>
          <w:rFonts w:ascii="ITC New Baskerville Std" w:hAnsi="ITC New Baskerville Std"/>
          <w:sz w:val="22"/>
          <w:szCs w:val="22"/>
        </w:rPr>
        <w:t>número máximo de alumnado que</w:t>
      </w:r>
      <w:r>
        <w:rPr>
          <w:rFonts w:ascii="ITC New Baskerville Std" w:hAnsi="ITC New Baskerville Std"/>
          <w:sz w:val="22"/>
          <w:szCs w:val="22"/>
        </w:rPr>
        <w:t xml:space="preserve"> pod</w:t>
      </w:r>
      <w:r w:rsidR="00D8408E" w:rsidRPr="001C03C0">
        <w:rPr>
          <w:rFonts w:ascii="ITC New Baskerville Std" w:hAnsi="ITC New Baskerville Std"/>
          <w:sz w:val="22"/>
          <w:szCs w:val="22"/>
        </w:rPr>
        <w:t xml:space="preserve">rá realizar prácticas </w:t>
      </w:r>
      <w:r w:rsidR="0012244F" w:rsidRPr="001C03C0">
        <w:rPr>
          <w:rFonts w:ascii="ITC New Baskerville Std" w:hAnsi="ITC New Baskerville Std"/>
          <w:sz w:val="22"/>
          <w:szCs w:val="22"/>
        </w:rPr>
        <w:t>simultáneamente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, </w:t>
      </w:r>
      <w:r>
        <w:rPr>
          <w:rFonts w:ascii="ITC New Baskerville Std" w:hAnsi="ITC New Baskerville Std"/>
          <w:sz w:val="22"/>
          <w:szCs w:val="22"/>
        </w:rPr>
        <w:t>y cumpl</w:t>
      </w:r>
      <w:r w:rsidR="005545B2" w:rsidRPr="001C03C0">
        <w:rPr>
          <w:rFonts w:ascii="ITC New Baskerville Std" w:hAnsi="ITC New Baskerville Std"/>
          <w:sz w:val="22"/>
          <w:szCs w:val="22"/>
        </w:rPr>
        <w:t>irá co</w:t>
      </w:r>
      <w:r>
        <w:rPr>
          <w:rFonts w:ascii="ITC New Baskerville Std" w:hAnsi="ITC New Baskerville Std"/>
          <w:sz w:val="22"/>
          <w:szCs w:val="22"/>
        </w:rPr>
        <w:t xml:space="preserve">n las obligaciones de las personas tutoras según el </w:t>
      </w:r>
      <w:r w:rsidR="005545B2" w:rsidRPr="001C03C0">
        <w:rPr>
          <w:rFonts w:ascii="ITC New Baskerville Std" w:hAnsi="ITC New Baskerville Std"/>
          <w:sz w:val="22"/>
          <w:szCs w:val="22"/>
        </w:rPr>
        <w:t xml:space="preserve"> RD 592/2014, d</w:t>
      </w:r>
      <w:r>
        <w:rPr>
          <w:rFonts w:ascii="ITC New Baskerville Std" w:hAnsi="ITC New Baskerville Std"/>
          <w:sz w:val="22"/>
          <w:szCs w:val="22"/>
        </w:rPr>
        <w:t>el 11 de julio</w:t>
      </w:r>
      <w:r w:rsidR="00D8408E" w:rsidRPr="001C03C0">
        <w:rPr>
          <w:rFonts w:ascii="ITC New Baskerville Std" w:hAnsi="ITC New Baskerville Std"/>
          <w:sz w:val="22"/>
          <w:szCs w:val="22"/>
        </w:rPr>
        <w:t>.</w:t>
      </w:r>
    </w:p>
    <w:p w14:paraId="493D3607" w14:textId="77777777" w:rsidR="00D8408E" w:rsidRPr="001C03C0" w:rsidRDefault="00D8408E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 w:rsidRPr="001C03C0">
        <w:rPr>
          <w:rFonts w:ascii="ITC New Baskerville Std" w:hAnsi="ITC New Baskerville Std"/>
          <w:sz w:val="22"/>
          <w:szCs w:val="22"/>
        </w:rPr>
        <w:t xml:space="preserve">Remitirá </w:t>
      </w:r>
      <w:r w:rsidR="001C03C0">
        <w:rPr>
          <w:rFonts w:ascii="ITC New Baskerville Std" w:hAnsi="ITC New Baskerville Std"/>
          <w:sz w:val="22"/>
          <w:szCs w:val="22"/>
        </w:rPr>
        <w:t xml:space="preserve">a la </w:t>
      </w:r>
      <w:r w:rsidRPr="001C03C0">
        <w:rPr>
          <w:rFonts w:ascii="ITC New Baskerville Std" w:hAnsi="ITC New Baskerville Std"/>
          <w:sz w:val="22"/>
          <w:szCs w:val="22"/>
        </w:rPr>
        <w:t xml:space="preserve">Universidad de Vigo, en caso de ser solicitados, </w:t>
      </w:r>
      <w:r w:rsidR="001C03C0">
        <w:rPr>
          <w:rFonts w:ascii="ITC New Baskerville Std" w:hAnsi="ITC New Baskerville Std"/>
          <w:sz w:val="22"/>
          <w:szCs w:val="22"/>
        </w:rPr>
        <w:t>l</w:t>
      </w:r>
      <w:r w:rsidRPr="001C03C0">
        <w:rPr>
          <w:rFonts w:ascii="ITC New Baskerville Std" w:hAnsi="ITC New Baskerville Std"/>
          <w:sz w:val="22"/>
          <w:szCs w:val="22"/>
        </w:rPr>
        <w:t xml:space="preserve">os datos relativos </w:t>
      </w:r>
      <w:r w:rsidR="001C03C0">
        <w:rPr>
          <w:rFonts w:ascii="ITC New Baskerville Std" w:hAnsi="ITC New Baskerville Std"/>
          <w:sz w:val="22"/>
          <w:szCs w:val="22"/>
        </w:rPr>
        <w:t>a la</w:t>
      </w:r>
      <w:r w:rsidRPr="001C03C0">
        <w:rPr>
          <w:rFonts w:ascii="ITC New Baskerville Std" w:hAnsi="ITC New Baskerville Std"/>
          <w:sz w:val="22"/>
          <w:szCs w:val="22"/>
        </w:rPr>
        <w:t xml:space="preserve"> </w:t>
      </w:r>
      <w:r w:rsidR="0012244F">
        <w:rPr>
          <w:rFonts w:ascii="ITC New Baskerville Std" w:hAnsi="ITC New Baskerville Std"/>
          <w:sz w:val="22"/>
          <w:szCs w:val="22"/>
        </w:rPr>
        <w:t>plantilla de personal</w:t>
      </w:r>
      <w:r w:rsidRPr="001C03C0">
        <w:rPr>
          <w:rFonts w:ascii="ITC New Baskerville Std" w:hAnsi="ITC New Baskerville Std"/>
          <w:sz w:val="22"/>
          <w:szCs w:val="22"/>
        </w:rPr>
        <w:t>, seg</w:t>
      </w:r>
      <w:r w:rsidR="0012244F">
        <w:rPr>
          <w:rFonts w:ascii="ITC New Baskerville Std" w:hAnsi="ITC New Baskerville Std"/>
          <w:sz w:val="22"/>
          <w:szCs w:val="22"/>
        </w:rPr>
        <w:t>ún</w:t>
      </w:r>
      <w:r w:rsidRPr="001C03C0">
        <w:rPr>
          <w:rFonts w:ascii="ITC New Baskerville Std" w:hAnsi="ITC New Baskerville Std"/>
          <w:sz w:val="22"/>
          <w:szCs w:val="22"/>
        </w:rPr>
        <w:t xml:space="preserve"> consta </w:t>
      </w:r>
      <w:r w:rsidR="0012244F">
        <w:rPr>
          <w:rFonts w:ascii="ITC New Baskerville Std" w:hAnsi="ITC New Baskerville Std"/>
          <w:sz w:val="22"/>
          <w:szCs w:val="22"/>
        </w:rPr>
        <w:t>en la r</w:t>
      </w:r>
      <w:r w:rsidRPr="001C03C0">
        <w:rPr>
          <w:rFonts w:ascii="ITC New Baskerville Std" w:hAnsi="ITC New Baskerville Std"/>
          <w:sz w:val="22"/>
          <w:szCs w:val="22"/>
        </w:rPr>
        <w:t>elación nominal de traba</w:t>
      </w:r>
      <w:r w:rsidR="0012244F">
        <w:rPr>
          <w:rFonts w:ascii="ITC New Baskerville Std" w:hAnsi="ITC New Baskerville Std"/>
          <w:sz w:val="22"/>
          <w:szCs w:val="22"/>
        </w:rPr>
        <w:t>j</w:t>
      </w:r>
      <w:r w:rsidRPr="001C03C0">
        <w:rPr>
          <w:rFonts w:ascii="ITC New Baskerville Std" w:hAnsi="ITC New Baskerville Std"/>
          <w:sz w:val="22"/>
          <w:szCs w:val="22"/>
        </w:rPr>
        <w:t>adores/as (RNT).</w:t>
      </w:r>
    </w:p>
    <w:p w14:paraId="4C4E7B51" w14:textId="77777777" w:rsidR="002A4518" w:rsidRPr="001C03C0" w:rsidRDefault="0012244F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sz w:val="22"/>
          <w:szCs w:val="22"/>
        </w:rPr>
        <w:t xml:space="preserve">Se compromete a que la persona tutora notificará a la Universidad de Vigo cualquier </w:t>
      </w:r>
      <w:r w:rsidR="00F874FB" w:rsidRPr="001C03C0">
        <w:rPr>
          <w:rFonts w:ascii="ITC New Baskerville Std" w:hAnsi="ITC New Baskerville Std"/>
          <w:sz w:val="22"/>
          <w:szCs w:val="22"/>
        </w:rPr>
        <w:t>falta de asistencia por parte d</w:t>
      </w:r>
      <w:r>
        <w:rPr>
          <w:rFonts w:ascii="ITC New Baskerville Std" w:hAnsi="ITC New Baskerville Std"/>
          <w:sz w:val="22"/>
          <w:szCs w:val="22"/>
        </w:rPr>
        <w:t xml:space="preserve">el estudiantado en </w:t>
      </w:r>
      <w:r w:rsidR="00F874FB" w:rsidRPr="001C03C0">
        <w:rPr>
          <w:rFonts w:ascii="ITC New Baskerville Std" w:hAnsi="ITC New Baskerville Std"/>
          <w:sz w:val="22"/>
          <w:szCs w:val="22"/>
        </w:rPr>
        <w:t>prácticas</w:t>
      </w:r>
      <w:r w:rsidR="002A4518" w:rsidRPr="001C03C0">
        <w:rPr>
          <w:rFonts w:ascii="ITC New Baskerville Std" w:hAnsi="ITC New Baskerville Std"/>
          <w:sz w:val="22"/>
          <w:szCs w:val="22"/>
        </w:rPr>
        <w:t>.</w:t>
      </w:r>
    </w:p>
    <w:p w14:paraId="79DDA4EB" w14:textId="77777777" w:rsidR="00F874FB" w:rsidRPr="001C03C0" w:rsidRDefault="0012244F" w:rsidP="0005090E">
      <w:pPr>
        <w:pStyle w:val="Prrafodelista"/>
        <w:numPr>
          <w:ilvl w:val="0"/>
          <w:numId w:val="4"/>
        </w:numPr>
        <w:ind w:right="-149"/>
        <w:jc w:val="both"/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sz w:val="22"/>
          <w:szCs w:val="22"/>
        </w:rPr>
        <w:t>En el caso de remunerar las prácticas</w:t>
      </w:r>
      <w:r w:rsidR="00721A3F" w:rsidRPr="001C03C0">
        <w:rPr>
          <w:rFonts w:ascii="ITC New Baskerville Std" w:hAnsi="ITC New Baskerville Std"/>
          <w:sz w:val="22"/>
          <w:szCs w:val="22"/>
        </w:rPr>
        <w:t xml:space="preserve">, </w:t>
      </w:r>
      <w:r>
        <w:rPr>
          <w:rFonts w:ascii="ITC New Baskerville Std" w:hAnsi="ITC New Baskerville Std"/>
          <w:sz w:val="22"/>
          <w:szCs w:val="22"/>
        </w:rPr>
        <w:t xml:space="preserve">asumirá las obligaciones ante la </w:t>
      </w:r>
      <w:r w:rsidR="002A4518" w:rsidRPr="001C03C0">
        <w:rPr>
          <w:rFonts w:ascii="ITC New Baskerville Std" w:hAnsi="ITC New Baskerville Std"/>
          <w:sz w:val="22"/>
          <w:szCs w:val="22"/>
        </w:rPr>
        <w:t>Seguridad Social</w:t>
      </w:r>
      <w:r w:rsidR="00F874FB" w:rsidRPr="001C03C0">
        <w:rPr>
          <w:rFonts w:ascii="ITC New Baskerville Std" w:hAnsi="ITC New Baskerville Std"/>
          <w:sz w:val="22"/>
          <w:szCs w:val="22"/>
        </w:rPr>
        <w:t>.</w:t>
      </w:r>
    </w:p>
    <w:p w14:paraId="470CCB0C" w14:textId="77777777" w:rsidR="002E5D6D" w:rsidRPr="001C03C0" w:rsidRDefault="002E5D6D" w:rsidP="00FA5A4C">
      <w:pPr>
        <w:ind w:left="-142" w:right="-149"/>
        <w:jc w:val="both"/>
        <w:rPr>
          <w:rFonts w:ascii="ITC New Baskerville Std" w:hAnsi="ITC New Baskerville Std"/>
          <w:sz w:val="22"/>
          <w:szCs w:val="22"/>
        </w:rPr>
      </w:pPr>
    </w:p>
    <w:p w14:paraId="50D678FB" w14:textId="77777777" w:rsidR="00141850" w:rsidRPr="001C03C0" w:rsidRDefault="00141850" w:rsidP="00FA5A4C">
      <w:pPr>
        <w:ind w:left="-142" w:right="-149"/>
        <w:jc w:val="both"/>
        <w:rPr>
          <w:sz w:val="22"/>
          <w:szCs w:val="22"/>
        </w:rPr>
      </w:pPr>
    </w:p>
    <w:p w14:paraId="4EEC050E" w14:textId="77777777" w:rsidR="00FA5A4C" w:rsidRPr="001C03C0" w:rsidRDefault="00FA5A4C" w:rsidP="00FA5A4C">
      <w:pPr>
        <w:ind w:left="-142" w:right="-149"/>
        <w:jc w:val="both"/>
        <w:rPr>
          <w:sz w:val="22"/>
          <w:szCs w:val="22"/>
        </w:rPr>
      </w:pPr>
    </w:p>
    <w:p w14:paraId="4F8ADC0D" w14:textId="77777777" w:rsidR="00293B3F" w:rsidRPr="001C03C0" w:rsidRDefault="00141850" w:rsidP="005545B2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22"/>
          <w:szCs w:val="22"/>
        </w:rPr>
      </w:pPr>
      <w:r w:rsidRPr="001C03C0">
        <w:rPr>
          <w:rFonts w:ascii="ITC New Baskerville Std" w:hAnsi="ITC New Baskerville Std"/>
          <w:snapToGrid w:val="0"/>
          <w:sz w:val="22"/>
          <w:szCs w:val="22"/>
        </w:rPr>
        <w:t xml:space="preserve">Lugar </w:t>
      </w:r>
      <w:r w:rsidR="0012244F">
        <w:rPr>
          <w:rFonts w:ascii="ITC New Baskerville Std" w:hAnsi="ITC New Baskerville Std"/>
          <w:snapToGrid w:val="0"/>
          <w:sz w:val="22"/>
          <w:szCs w:val="22"/>
        </w:rPr>
        <w:t>y fecha</w:t>
      </w:r>
      <w:r w:rsidRPr="001C03C0">
        <w:rPr>
          <w:rFonts w:ascii="ITC New Baskerville Std" w:hAnsi="ITC New Baskerville Std"/>
          <w:snapToGrid w:val="0"/>
          <w:sz w:val="22"/>
          <w:szCs w:val="22"/>
        </w:rPr>
        <w:t xml:space="preserve">: </w:t>
      </w:r>
    </w:p>
    <w:p w14:paraId="1D28C321" w14:textId="77777777" w:rsidR="00FA5A4C" w:rsidRPr="001C03C0" w:rsidRDefault="00FA5A4C" w:rsidP="00F874FB">
      <w:pPr>
        <w:ind w:left="-142" w:right="-147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3FD28BC0" w14:textId="77777777" w:rsidR="002A4518" w:rsidRPr="001C03C0" w:rsidRDefault="002A4518" w:rsidP="00F874FB">
      <w:pPr>
        <w:ind w:left="-142" w:right="-147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0B481886" w14:textId="77777777" w:rsidR="002A4518" w:rsidRPr="001C03C0" w:rsidRDefault="002A4518" w:rsidP="00F874FB">
      <w:pPr>
        <w:ind w:left="-142" w:right="-147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67E18300" w14:textId="77777777" w:rsidR="002A4518" w:rsidRPr="001C03C0" w:rsidRDefault="002A4518" w:rsidP="00F874FB">
      <w:pPr>
        <w:ind w:left="-142" w:right="-147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516B8B4A" w14:textId="77777777" w:rsidR="00F874FB" w:rsidRPr="001C03C0" w:rsidRDefault="00F874FB" w:rsidP="00F874FB">
      <w:pPr>
        <w:ind w:left="-142" w:right="-147"/>
        <w:jc w:val="both"/>
        <w:rPr>
          <w:rFonts w:ascii="ITC New Baskerville Std" w:hAnsi="ITC New Baskerville Std"/>
          <w:snapToGrid w:val="0"/>
          <w:sz w:val="22"/>
          <w:szCs w:val="22"/>
        </w:rPr>
      </w:pPr>
    </w:p>
    <w:p w14:paraId="25CB6C21" w14:textId="77777777" w:rsidR="002A4518" w:rsidRPr="001C03C0" w:rsidRDefault="0012244F" w:rsidP="00FA5A4C">
      <w:pPr>
        <w:spacing w:line="360" w:lineRule="auto"/>
        <w:ind w:left="-142" w:right="-149"/>
        <w:jc w:val="both"/>
        <w:rPr>
          <w:rFonts w:ascii="ITC New Baskerville Std" w:hAnsi="ITC New Baskerville Std"/>
          <w:snapToGrid w:val="0"/>
          <w:sz w:val="22"/>
          <w:szCs w:val="22"/>
        </w:rPr>
      </w:pPr>
      <w:r>
        <w:rPr>
          <w:rFonts w:ascii="ITC New Baskerville Std" w:hAnsi="ITC New Baskerville Std"/>
          <w:snapToGrid w:val="0"/>
          <w:sz w:val="22"/>
          <w:szCs w:val="22"/>
        </w:rPr>
        <w:t>Nombre</w:t>
      </w:r>
      <w:r w:rsidR="00FA5A4C" w:rsidRPr="001C03C0">
        <w:rPr>
          <w:rFonts w:ascii="ITC New Baskerville Std" w:hAnsi="ITC New Baskerville Std"/>
          <w:snapToGrid w:val="0"/>
          <w:sz w:val="22"/>
          <w:szCs w:val="22"/>
        </w:rPr>
        <w:t>, Apel</w:t>
      </w:r>
      <w:r>
        <w:rPr>
          <w:rFonts w:ascii="ITC New Baskerville Std" w:hAnsi="ITC New Baskerville Std"/>
          <w:snapToGrid w:val="0"/>
          <w:sz w:val="22"/>
          <w:szCs w:val="22"/>
        </w:rPr>
        <w:t>l</w:t>
      </w:r>
      <w:r w:rsidR="00FA5A4C" w:rsidRPr="001C03C0">
        <w:rPr>
          <w:rFonts w:ascii="ITC New Baskerville Std" w:hAnsi="ITC New Baskerville Std"/>
          <w:snapToGrid w:val="0"/>
          <w:sz w:val="22"/>
          <w:szCs w:val="22"/>
        </w:rPr>
        <w:t xml:space="preserve">idos </w:t>
      </w:r>
      <w:r>
        <w:rPr>
          <w:rFonts w:ascii="ITC New Baskerville Std" w:hAnsi="ITC New Baskerville Std"/>
          <w:snapToGrid w:val="0"/>
          <w:sz w:val="22"/>
          <w:szCs w:val="22"/>
        </w:rPr>
        <w:t>y firma</w:t>
      </w:r>
    </w:p>
    <w:p w14:paraId="07FFE417" w14:textId="77777777" w:rsidR="002A4518" w:rsidRPr="001C03C0" w:rsidRDefault="002A4518">
      <w:pPr>
        <w:rPr>
          <w:rFonts w:ascii="ITC New Baskerville Std" w:hAnsi="ITC New Baskerville Std"/>
          <w:snapToGrid w:val="0"/>
          <w:sz w:val="22"/>
          <w:szCs w:val="22"/>
        </w:rPr>
      </w:pPr>
      <w:r w:rsidRPr="001C03C0">
        <w:rPr>
          <w:rFonts w:ascii="ITC New Baskerville Std" w:hAnsi="ITC New Baskerville Std"/>
          <w:snapToGrid w:val="0"/>
          <w:sz w:val="22"/>
          <w:szCs w:val="22"/>
        </w:rPr>
        <w:br w:type="page"/>
      </w:r>
    </w:p>
    <w:p w14:paraId="7EDDFF5F" w14:textId="77777777" w:rsidR="002A4518" w:rsidRPr="001C03C0" w:rsidRDefault="002A4518" w:rsidP="002A4518">
      <w:pPr>
        <w:spacing w:after="40"/>
        <w:ind w:left="-142" w:right="-147"/>
        <w:jc w:val="both"/>
        <w:rPr>
          <w:rFonts w:ascii="ITC New Baskerville Std" w:hAnsi="ITC New Baskerville Std"/>
          <w:b/>
          <w:sz w:val="20"/>
          <w:szCs w:val="20"/>
        </w:rPr>
      </w:pPr>
    </w:p>
    <w:p w14:paraId="259AE87C" w14:textId="77777777" w:rsidR="002A4518" w:rsidRPr="001C03C0" w:rsidRDefault="002A4518" w:rsidP="002A4518">
      <w:pPr>
        <w:spacing w:after="40"/>
        <w:ind w:left="-142" w:right="-147"/>
        <w:jc w:val="both"/>
        <w:rPr>
          <w:rFonts w:ascii="ITC New Baskerville Std" w:hAnsi="ITC New Baskerville Std"/>
          <w:b/>
          <w:sz w:val="20"/>
          <w:szCs w:val="20"/>
        </w:rPr>
      </w:pPr>
    </w:p>
    <w:p w14:paraId="42D59205" w14:textId="77777777" w:rsidR="002A4518" w:rsidRPr="001C03C0" w:rsidRDefault="008132D0" w:rsidP="002A4518">
      <w:pPr>
        <w:spacing w:after="40"/>
        <w:ind w:left="-142" w:right="-147"/>
        <w:jc w:val="both"/>
        <w:rPr>
          <w:rFonts w:ascii="ITC New Baskerville Std" w:hAnsi="ITC New Baskerville Std"/>
          <w:b/>
          <w:sz w:val="20"/>
          <w:szCs w:val="20"/>
        </w:rPr>
      </w:pPr>
      <w:r>
        <w:rPr>
          <w:rFonts w:ascii="ITC New Baskerville Std" w:hAnsi="ITC New Baskerville Std"/>
          <w:b/>
          <w:sz w:val="20"/>
          <w:szCs w:val="20"/>
        </w:rPr>
        <w:t>INFORMACIÓN BÁSICA SOBRE LA</w:t>
      </w:r>
      <w:r w:rsidR="002A4518" w:rsidRPr="001C03C0">
        <w:rPr>
          <w:rFonts w:ascii="ITC New Baskerville Std" w:hAnsi="ITC New Baskerville Std"/>
          <w:b/>
          <w:sz w:val="20"/>
          <w:szCs w:val="20"/>
        </w:rPr>
        <w:t xml:space="preserve"> PROTECCIÓN D</w:t>
      </w:r>
      <w:r>
        <w:rPr>
          <w:rFonts w:ascii="ITC New Baskerville Std" w:hAnsi="ITC New Baskerville Std"/>
          <w:b/>
          <w:sz w:val="20"/>
          <w:szCs w:val="20"/>
        </w:rPr>
        <w:t>E TUS</w:t>
      </w:r>
      <w:r w:rsidR="002A4518" w:rsidRPr="001C03C0">
        <w:rPr>
          <w:rFonts w:ascii="ITC New Baskerville Std" w:hAnsi="ITC New Baskerville Std"/>
          <w:b/>
          <w:sz w:val="20"/>
          <w:szCs w:val="20"/>
        </w:rPr>
        <w:t xml:space="preserve"> DATOS</w:t>
      </w:r>
    </w:p>
    <w:p w14:paraId="164FB3C5" w14:textId="77777777" w:rsidR="002A4518" w:rsidRPr="001C03C0" w:rsidRDefault="002A4518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 w:rsidRPr="001C03C0">
        <w:rPr>
          <w:rFonts w:ascii="ITC New Baskerville Std" w:hAnsi="ITC New Baskerville Std"/>
          <w:sz w:val="20"/>
          <w:szCs w:val="20"/>
        </w:rPr>
        <w:t>Responsable: Universidad de Vigo</w:t>
      </w:r>
    </w:p>
    <w:p w14:paraId="0AB039E7" w14:textId="77777777" w:rsidR="002A4518" w:rsidRDefault="002A4518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 w:rsidRPr="001C03C0">
        <w:rPr>
          <w:rFonts w:ascii="ITC New Baskerville Std" w:hAnsi="ITC New Baskerville Std"/>
          <w:sz w:val="20"/>
          <w:szCs w:val="20"/>
        </w:rPr>
        <w:t xml:space="preserve">Finalidad: </w:t>
      </w:r>
      <w:r w:rsidR="0012244F" w:rsidRPr="0012244F">
        <w:rPr>
          <w:rFonts w:ascii="ITC New Baskerville Std" w:hAnsi="ITC New Baskerville Std"/>
          <w:sz w:val="20"/>
          <w:szCs w:val="20"/>
        </w:rPr>
        <w:t>Gestionar y tramitar convenios de cooperación educativa y realizar prácticas externas, ofertas de empleo y bolsas de formación de la Universidad de Vigo</w:t>
      </w:r>
    </w:p>
    <w:p w14:paraId="25AA0246" w14:textId="77777777" w:rsidR="0012244F" w:rsidRPr="001C03C0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</w:p>
    <w:p w14:paraId="0626097B" w14:textId="5F9D68B9" w:rsidR="002A4518" w:rsidRPr="001C03C0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 w:rsidRPr="0012244F">
        <w:rPr>
          <w:rFonts w:ascii="ITC New Baskerville Std" w:hAnsi="ITC New Baskerville Std"/>
          <w:sz w:val="20"/>
          <w:szCs w:val="20"/>
        </w:rPr>
        <w:t>Legitimación: el tratamiento de los datos de carácter personal recogidos en este documento se basa en las competencias atribuidas por la</w:t>
      </w:r>
      <w:r w:rsidR="00D01387">
        <w:rPr>
          <w:rFonts w:ascii="ITC New Baskerville Std" w:hAnsi="ITC New Baskerville Std"/>
          <w:sz w:val="20"/>
          <w:szCs w:val="20"/>
        </w:rPr>
        <w:t xml:space="preserve"> Ley Orgánica 6/2002, del 21 de diciembre, </w:t>
      </w:r>
      <w:r w:rsidRPr="0012244F">
        <w:rPr>
          <w:rFonts w:ascii="ITC New Baskerville Std" w:hAnsi="ITC New Baskerville Std"/>
          <w:sz w:val="20"/>
          <w:szCs w:val="20"/>
        </w:rPr>
        <w:t>de universidades e desarrollada por el Real Decreto 592/2014, do 1 de julio, por el que se regulan las prácticas académicas externas de los estudiantes universitarios.</w:t>
      </w:r>
    </w:p>
    <w:p w14:paraId="7C46632F" w14:textId="77777777" w:rsidR="002A4518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Cesiones</w:t>
      </w:r>
      <w:r w:rsidR="002A4518" w:rsidRPr="001C03C0">
        <w:rPr>
          <w:rFonts w:ascii="ITC New Baskerville Std" w:hAnsi="ITC New Baskerville Std"/>
          <w:sz w:val="20"/>
          <w:szCs w:val="20"/>
        </w:rPr>
        <w:t>: no se prevén cesi</w:t>
      </w:r>
      <w:r>
        <w:rPr>
          <w:rFonts w:ascii="ITC New Baskerville Std" w:hAnsi="ITC New Baskerville Std"/>
          <w:sz w:val="20"/>
          <w:szCs w:val="20"/>
        </w:rPr>
        <w:t>ones</w:t>
      </w:r>
      <w:r w:rsidR="002A4518" w:rsidRPr="001C03C0">
        <w:rPr>
          <w:rFonts w:ascii="ITC New Baskerville Std" w:hAnsi="ITC New Baskerville Std"/>
          <w:sz w:val="20"/>
          <w:szCs w:val="20"/>
        </w:rPr>
        <w:t xml:space="preserve"> a terceros</w:t>
      </w:r>
    </w:p>
    <w:p w14:paraId="3358086C" w14:textId="77777777" w:rsidR="0012244F" w:rsidRPr="001C03C0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</w:p>
    <w:p w14:paraId="5347E4EF" w14:textId="77777777" w:rsidR="0012244F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 w:rsidRPr="0012244F">
        <w:rPr>
          <w:rFonts w:ascii="ITC New Baskerville Std" w:hAnsi="ITC New Baskerville Std"/>
          <w:sz w:val="20"/>
          <w:szCs w:val="20"/>
        </w:rPr>
        <w:t>Derechos: las personas interesadas podrán ejercer los siguientes derechos: acceso, rectificación, supresión, limitación del tratamiento, oposición y, en su caso, portabilidad de los datos.</w:t>
      </w:r>
    </w:p>
    <w:p w14:paraId="08268C87" w14:textId="77777777" w:rsidR="0012244F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</w:p>
    <w:p w14:paraId="49E9D981" w14:textId="77777777" w:rsidR="002A4518" w:rsidRPr="001C03C0" w:rsidRDefault="0012244F" w:rsidP="002A4518">
      <w:pPr>
        <w:spacing w:after="40"/>
        <w:ind w:left="-142" w:right="-147"/>
        <w:jc w:val="both"/>
        <w:rPr>
          <w:rFonts w:ascii="ITC New Baskerville Std" w:hAnsi="ITC New Baskerville Std"/>
          <w:sz w:val="20"/>
          <w:szCs w:val="20"/>
        </w:rPr>
      </w:pPr>
      <w:r w:rsidRPr="0012244F">
        <w:rPr>
          <w:rFonts w:ascii="ITC New Baskerville Std" w:hAnsi="ITC New Baskerville Std"/>
          <w:sz w:val="20"/>
          <w:szCs w:val="20"/>
        </w:rPr>
        <w:t>Procedencia de la información: la información recogida en este formulario procede de la propia persona interesada o de su representante legal.</w:t>
      </w:r>
    </w:p>
    <w:p w14:paraId="2B4A0820" w14:textId="77777777" w:rsidR="002A4518" w:rsidRPr="001C03C0" w:rsidRDefault="002A4518" w:rsidP="002A4518">
      <w:pPr>
        <w:ind w:left="-142" w:right="-149"/>
        <w:jc w:val="both"/>
        <w:rPr>
          <w:rFonts w:ascii="ITC New Baskerville Std" w:hAnsi="ITC New Baskerville Std"/>
          <w:sz w:val="20"/>
          <w:szCs w:val="20"/>
        </w:rPr>
      </w:pPr>
      <w:r w:rsidRPr="001C03C0">
        <w:rPr>
          <w:rFonts w:ascii="ITC New Baskerville Std" w:hAnsi="ITC New Baskerville Std"/>
          <w:b/>
          <w:sz w:val="20"/>
          <w:szCs w:val="20"/>
        </w:rPr>
        <w:t>Información adicional</w:t>
      </w:r>
      <w:r w:rsidRPr="001C03C0">
        <w:rPr>
          <w:rFonts w:ascii="ITC New Baskerville Std" w:hAnsi="ITC New Baskerville Std"/>
          <w:sz w:val="20"/>
          <w:szCs w:val="20"/>
        </w:rPr>
        <w:t xml:space="preserve">: </w:t>
      </w:r>
      <w:hyperlink r:id="rId7" w:history="1">
        <w:r w:rsidRPr="001C03C0">
          <w:rPr>
            <w:rStyle w:val="Hipervnculo"/>
            <w:rFonts w:ascii="ITC New Baskerville Std" w:hAnsi="ITC New Baskerville Std"/>
            <w:sz w:val="20"/>
            <w:szCs w:val="20"/>
          </w:rPr>
          <w:t>https://www.uvigo.gal/proteccion-datos</w:t>
        </w:r>
      </w:hyperlink>
    </w:p>
    <w:p w14:paraId="52267A6E" w14:textId="77777777" w:rsidR="002A4518" w:rsidRPr="001C03C0" w:rsidRDefault="002A4518" w:rsidP="00FA5A4C">
      <w:pPr>
        <w:spacing w:line="360" w:lineRule="auto"/>
        <w:ind w:left="-142" w:right="-149"/>
        <w:jc w:val="both"/>
        <w:rPr>
          <w:sz w:val="20"/>
          <w:szCs w:val="20"/>
        </w:rPr>
      </w:pPr>
    </w:p>
    <w:sectPr w:rsidR="002A4518" w:rsidRPr="001C03C0" w:rsidSect="007A1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6C182" w14:textId="77777777" w:rsidR="007D4292" w:rsidRDefault="007D4292" w:rsidP="00141850">
      <w:r>
        <w:separator/>
      </w:r>
    </w:p>
  </w:endnote>
  <w:endnote w:type="continuationSeparator" w:id="0">
    <w:p w14:paraId="0E2573D2" w14:textId="77777777" w:rsidR="007D4292" w:rsidRDefault="007D4292" w:rsidP="001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8F7C5" w14:textId="77777777" w:rsidR="0086438E" w:rsidRDefault="008643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92535" w14:textId="77777777" w:rsidR="0086438E" w:rsidRDefault="008643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5D7C" w14:textId="77777777" w:rsidR="0086438E" w:rsidRDefault="00864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6A14" w14:textId="77777777" w:rsidR="007D4292" w:rsidRDefault="007D4292" w:rsidP="00141850">
      <w:r>
        <w:separator/>
      </w:r>
    </w:p>
  </w:footnote>
  <w:footnote w:type="continuationSeparator" w:id="0">
    <w:p w14:paraId="3382FE20" w14:textId="77777777" w:rsidR="007D4292" w:rsidRDefault="007D4292" w:rsidP="001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38FF" w14:textId="77777777" w:rsidR="0086438E" w:rsidRDefault="00D01387">
    <w:pPr>
      <w:pStyle w:val="Encabezado"/>
    </w:pPr>
    <w:r>
      <w:rPr>
        <w:noProof/>
      </w:rPr>
      <w:pict w14:anchorId="7D2BC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4797" o:spid="_x0000_s2050" type="#_x0000_t136" style="position:absolute;margin-left:0;margin-top:0;width:490.1pt;height:108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92E8F" w14:textId="77777777" w:rsidR="007A19CA" w:rsidRDefault="00D01387" w:rsidP="00141850">
    <w:pPr>
      <w:jc w:val="center"/>
      <w:rPr>
        <w:rFonts w:ascii="ITC New Baskerville Std" w:hAnsi="ITC New Baskerville Std"/>
        <w:b/>
        <w:bCs/>
        <w:sz w:val="22"/>
        <w:szCs w:val="22"/>
      </w:rPr>
    </w:pPr>
    <w:r>
      <w:rPr>
        <w:noProof/>
      </w:rPr>
      <w:pict w14:anchorId="135DA9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4798" o:spid="_x0000_s2051" type="#_x0000_t136" style="position:absolute;left:0;text-align:left;margin-left:0;margin-top:0;width:490.1pt;height:108.9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  <w:r w:rsidR="007A19CA">
      <w:rPr>
        <w:noProof/>
      </w:rPr>
      <w:drawing>
        <wp:anchor distT="0" distB="0" distL="114300" distR="114300" simplePos="0" relativeHeight="251659264" behindDoc="0" locked="0" layoutInCell="1" allowOverlap="1" wp14:anchorId="0B3D4E21" wp14:editId="49EAF04D">
          <wp:simplePos x="0" y="0"/>
          <wp:positionH relativeFrom="column">
            <wp:posOffset>-733425</wp:posOffset>
          </wp:positionH>
          <wp:positionV relativeFrom="paragraph">
            <wp:posOffset>-118264</wp:posOffset>
          </wp:positionV>
          <wp:extent cx="2032987" cy="358056"/>
          <wp:effectExtent l="0" t="0" r="0" b="0"/>
          <wp:wrapNone/>
          <wp:docPr id="1" name="Imagen 2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3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87" cy="35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BC78A" w14:textId="77777777" w:rsidR="00981B08" w:rsidRDefault="00981B08" w:rsidP="00141850">
    <w:pPr>
      <w:jc w:val="center"/>
      <w:rPr>
        <w:rFonts w:ascii="ITC New Baskerville Std" w:hAnsi="ITC New Baskerville Std"/>
        <w:b/>
        <w:bCs/>
        <w:sz w:val="22"/>
        <w:szCs w:val="22"/>
        <w:lang w:val="gl-ES"/>
      </w:rPr>
    </w:pPr>
  </w:p>
  <w:p w14:paraId="1F62DDB1" w14:textId="77777777" w:rsidR="00FA5A4C" w:rsidRDefault="00FA5A4C">
    <w:pPr>
      <w:pStyle w:val="Encabezado"/>
    </w:pPr>
  </w:p>
  <w:p w14:paraId="2EDF851A" w14:textId="77777777" w:rsidR="002A4518" w:rsidRDefault="002A4518">
    <w:pPr>
      <w:pStyle w:val="Encabezado"/>
    </w:pPr>
  </w:p>
  <w:p w14:paraId="5001F9F4" w14:textId="77777777" w:rsidR="002A4518" w:rsidRDefault="002A45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3918E" w14:textId="77777777" w:rsidR="0086438E" w:rsidRDefault="00D01387">
    <w:pPr>
      <w:pStyle w:val="Encabezado"/>
    </w:pPr>
    <w:r>
      <w:rPr>
        <w:noProof/>
      </w:rPr>
      <w:pict w14:anchorId="55118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4796" o:spid="_x0000_s2049" type="#_x0000_t136" style="position:absolute;margin-left:0;margin-top:0;width:490.1pt;height:108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06B18"/>
    <w:multiLevelType w:val="hybridMultilevel"/>
    <w:tmpl w:val="A26695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C642">
      <w:start w:val="2"/>
      <w:numFmt w:val="bullet"/>
      <w:lvlText w:val="-"/>
      <w:lvlJc w:val="left"/>
      <w:pPr>
        <w:ind w:left="1440" w:hanging="360"/>
      </w:pPr>
      <w:rPr>
        <w:rFonts w:ascii="ITC New baskerville" w:eastAsia="Cambria" w:hAnsi="ITC New baskerville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E37"/>
    <w:multiLevelType w:val="hybridMultilevel"/>
    <w:tmpl w:val="2F4CC1D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334"/>
    <w:multiLevelType w:val="hybridMultilevel"/>
    <w:tmpl w:val="0326167A"/>
    <w:lvl w:ilvl="0" w:tplc="4C886AE4">
      <w:numFmt w:val="bullet"/>
      <w:lvlText w:val="-"/>
      <w:lvlJc w:val="left"/>
      <w:pPr>
        <w:ind w:left="218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5085F9A"/>
    <w:multiLevelType w:val="hybridMultilevel"/>
    <w:tmpl w:val="CC489E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75112">
    <w:abstractNumId w:val="3"/>
  </w:num>
  <w:num w:numId="2" w16cid:durableId="181672812">
    <w:abstractNumId w:val="1"/>
  </w:num>
  <w:num w:numId="3" w16cid:durableId="894704006">
    <w:abstractNumId w:val="0"/>
  </w:num>
  <w:num w:numId="4" w16cid:durableId="129506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50"/>
    <w:rsid w:val="0005090E"/>
    <w:rsid w:val="001069D8"/>
    <w:rsid w:val="0012244F"/>
    <w:rsid w:val="00141850"/>
    <w:rsid w:val="00162DB3"/>
    <w:rsid w:val="001C03C0"/>
    <w:rsid w:val="001F16B5"/>
    <w:rsid w:val="00225C03"/>
    <w:rsid w:val="00262712"/>
    <w:rsid w:val="0027061B"/>
    <w:rsid w:val="00293B3F"/>
    <w:rsid w:val="002A4518"/>
    <w:rsid w:val="002E5D6D"/>
    <w:rsid w:val="003A291C"/>
    <w:rsid w:val="003C1A5A"/>
    <w:rsid w:val="003C6BC0"/>
    <w:rsid w:val="00462A8E"/>
    <w:rsid w:val="00465CB7"/>
    <w:rsid w:val="0048309E"/>
    <w:rsid w:val="004D0902"/>
    <w:rsid w:val="005545B2"/>
    <w:rsid w:val="0057464C"/>
    <w:rsid w:val="00721A3F"/>
    <w:rsid w:val="007A19CA"/>
    <w:rsid w:val="007C76FD"/>
    <w:rsid w:val="007D4292"/>
    <w:rsid w:val="007E4025"/>
    <w:rsid w:val="008132D0"/>
    <w:rsid w:val="0086438E"/>
    <w:rsid w:val="00876DBE"/>
    <w:rsid w:val="00907DB4"/>
    <w:rsid w:val="00981B08"/>
    <w:rsid w:val="00A232CF"/>
    <w:rsid w:val="00A90223"/>
    <w:rsid w:val="00AE1E71"/>
    <w:rsid w:val="00BE2531"/>
    <w:rsid w:val="00CC005E"/>
    <w:rsid w:val="00D01387"/>
    <w:rsid w:val="00D23ADE"/>
    <w:rsid w:val="00D8408E"/>
    <w:rsid w:val="00E45C11"/>
    <w:rsid w:val="00F31A26"/>
    <w:rsid w:val="00F874FB"/>
    <w:rsid w:val="00FA1500"/>
    <w:rsid w:val="00FA5A4C"/>
    <w:rsid w:val="00FE22F0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E36EB6"/>
  <w15:chartTrackingRefBased/>
  <w15:docId w15:val="{756D7B77-D350-A944-B05E-2E256CF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5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850"/>
    <w:rPr>
      <w:rFonts w:ascii="Cambria" w:eastAsia="Times New Roman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18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8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18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8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85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18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850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B0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0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igo.gal/proteccion-da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MARUXA</dc:creator>
  <cp:keywords/>
  <dc:description/>
  <cp:lastModifiedBy>María Reyes Fernández González</cp:lastModifiedBy>
  <cp:revision>25</cp:revision>
  <cp:lastPrinted>2023-11-24T13:03:00Z</cp:lastPrinted>
  <dcterms:created xsi:type="dcterms:W3CDTF">2021-02-24T14:03:00Z</dcterms:created>
  <dcterms:modified xsi:type="dcterms:W3CDTF">2024-06-14T11:58:00Z</dcterms:modified>
</cp:coreProperties>
</file>